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E1" w:rsidRPr="00AB2A6D" w:rsidRDefault="00CB495B" w:rsidP="00AB2A6D">
      <w:pPr>
        <w:spacing w:after="0" w:line="240" w:lineRule="auto"/>
        <w:ind w:firstLine="567"/>
        <w:jc w:val="both"/>
        <w:textAlignment w:val="baseline"/>
        <w:rPr>
          <w:rFonts w:ascii="Trebuchet MS" w:eastAsia="Times New Roman" w:hAnsi="Trebuchet MS" w:cs="Times New Roman"/>
          <w:lang w:eastAsia="uk-UA"/>
        </w:rPr>
      </w:pPr>
      <w:r w:rsidRPr="00AB2A6D">
        <w:rPr>
          <w:rStyle w:val="a4"/>
          <w:rFonts w:ascii="Trebuchet MS" w:hAnsi="Trebuchet MS"/>
          <w:b w:val="0"/>
        </w:rPr>
        <w:t xml:space="preserve">Національною комісією, що здійснює державне регулювання у сферах енергетики та комунальних послуг (далі – НКРЕКП) </w:t>
      </w:r>
      <w:r w:rsidRPr="00AB2A6D">
        <w:rPr>
          <w:rFonts w:ascii="Trebuchet MS" w:hAnsi="Trebuchet MS"/>
          <w:bCs/>
        </w:rPr>
        <w:t xml:space="preserve">прийнято постанову № </w:t>
      </w:r>
      <w:r w:rsidR="00F65B98">
        <w:rPr>
          <w:rFonts w:ascii="Trebuchet MS" w:hAnsi="Trebuchet MS"/>
          <w:bCs/>
        </w:rPr>
        <w:t>375</w:t>
      </w:r>
      <w:r w:rsidRPr="00AB2A6D">
        <w:rPr>
          <w:rFonts w:ascii="Trebuchet MS" w:hAnsi="Trebuchet MS"/>
          <w:bCs/>
        </w:rPr>
        <w:t xml:space="preserve"> від 12.0</w:t>
      </w:r>
      <w:r w:rsidR="00F65B98">
        <w:rPr>
          <w:rFonts w:ascii="Trebuchet MS" w:hAnsi="Trebuchet MS"/>
          <w:bCs/>
        </w:rPr>
        <w:t>6</w:t>
      </w:r>
      <w:r w:rsidRPr="00AB2A6D">
        <w:rPr>
          <w:rFonts w:ascii="Trebuchet MS" w:hAnsi="Trebuchet MS"/>
          <w:bCs/>
        </w:rPr>
        <w:t>.20</w:t>
      </w:r>
      <w:r w:rsidR="00F65B98">
        <w:rPr>
          <w:rFonts w:ascii="Trebuchet MS" w:hAnsi="Trebuchet MS"/>
          <w:bCs/>
        </w:rPr>
        <w:t>18 (зі зм</w:t>
      </w:r>
      <w:r w:rsidR="008C04B0">
        <w:rPr>
          <w:rFonts w:ascii="Trebuchet MS" w:hAnsi="Trebuchet MS"/>
          <w:bCs/>
        </w:rPr>
        <w:t>і</w:t>
      </w:r>
      <w:bookmarkStart w:id="0" w:name="_GoBack"/>
      <w:bookmarkEnd w:id="0"/>
      <w:r w:rsidR="00F65B98">
        <w:rPr>
          <w:rFonts w:ascii="Trebuchet MS" w:hAnsi="Trebuchet MS"/>
          <w:bCs/>
        </w:rPr>
        <w:t>нами)</w:t>
      </w:r>
      <w:r w:rsidRPr="00AB2A6D">
        <w:rPr>
          <w:rStyle w:val="a4"/>
          <w:rFonts w:ascii="Trebuchet MS" w:hAnsi="Trebuchet MS"/>
          <w:b w:val="0"/>
        </w:rPr>
        <w:t xml:space="preserve"> щодо внесення змін до "Порядку забезпечення стандартів якості електропостачання та надання компенсацій за їх недотримання" (далі – Порядок).</w:t>
      </w:r>
      <w:r w:rsidRPr="00AB2A6D">
        <w:rPr>
          <w:rStyle w:val="a4"/>
          <w:rFonts w:ascii="Trebuchet MS" w:hAnsi="Trebuchet MS"/>
        </w:rPr>
        <w:t xml:space="preserve"> </w:t>
      </w:r>
      <w:r w:rsidR="00506AE1" w:rsidRPr="00AB2A6D">
        <w:rPr>
          <w:rFonts w:ascii="Trebuchet MS" w:eastAsia="Times New Roman" w:hAnsi="Trebuchet MS" w:cs="Times New Roman"/>
          <w:lang w:eastAsia="uk-UA"/>
        </w:rPr>
        <w:t xml:space="preserve"> Даний Порядок визначає, крім іншого, перелік загальних та гарантованих стандартів якості електропостачання і регулює відносини, пов’язані з електропостачанням відповідно до загальних та гарантованих стандартів якості, захистом прав споживачів та наданням електропостачальником компенсації за недотримання гарантованих стандартів якості електропостачання споживачам.</w:t>
      </w:r>
    </w:p>
    <w:p w:rsidR="00506AE1" w:rsidRPr="00AB2A6D" w:rsidRDefault="00506AE1" w:rsidP="00AB2A6D">
      <w:pPr>
        <w:spacing w:after="0" w:line="240" w:lineRule="auto"/>
        <w:ind w:firstLine="567"/>
        <w:jc w:val="both"/>
        <w:textAlignment w:val="baseline"/>
        <w:rPr>
          <w:rFonts w:ascii="Trebuchet MS" w:eastAsia="Times New Roman" w:hAnsi="Trebuchet MS" w:cs="Times New Roman"/>
          <w:lang w:eastAsia="uk-UA"/>
        </w:rPr>
      </w:pPr>
      <w:r w:rsidRPr="00AB2A6D">
        <w:rPr>
          <w:rFonts w:ascii="Trebuchet MS" w:eastAsia="Times New Roman" w:hAnsi="Trebuchet MS" w:cs="Times New Roman"/>
          <w:lang w:eastAsia="uk-UA"/>
        </w:rPr>
        <w:t>Цей Порядок застосовується до суб’єктів господарювання, що отримали ліцензію на провадження господарської діяльності з постачання електричної енергії споживачу.</w:t>
      </w:r>
    </w:p>
    <w:p w:rsidR="00CC56D7" w:rsidRDefault="00506AE1" w:rsidP="006247D3">
      <w:pPr>
        <w:spacing w:after="0" w:line="240" w:lineRule="auto"/>
        <w:ind w:firstLine="567"/>
        <w:jc w:val="both"/>
        <w:textAlignment w:val="baseline"/>
        <w:rPr>
          <w:rFonts w:ascii="Trebuchet MS" w:eastAsia="Times New Roman" w:hAnsi="Trebuchet MS" w:cs="Times New Roman"/>
          <w:lang w:eastAsia="uk-UA"/>
        </w:rPr>
      </w:pPr>
      <w:r w:rsidRPr="00AB2A6D">
        <w:rPr>
          <w:rFonts w:ascii="Trebuchet MS" w:eastAsia="Times New Roman" w:hAnsi="Trebuchet MS" w:cs="Times New Roman"/>
          <w:lang w:eastAsia="uk-UA"/>
        </w:rPr>
        <w:t>У разі недотримання гарантованих стандартів якості надання послуг, електропостачальник надає споживачу компенсацію</w:t>
      </w:r>
      <w:r w:rsidR="006247D3">
        <w:rPr>
          <w:rFonts w:ascii="Trebuchet MS" w:eastAsia="Times New Roman" w:hAnsi="Trebuchet MS" w:cs="Times New Roman"/>
          <w:lang w:eastAsia="uk-UA"/>
        </w:rPr>
        <w:t xml:space="preserve"> в зазначеному нижче розмірі</w:t>
      </w:r>
      <w:r w:rsidRPr="00AB2A6D">
        <w:rPr>
          <w:rFonts w:ascii="Trebuchet MS" w:eastAsia="Times New Roman" w:hAnsi="Trebuchet MS" w:cs="Times New Roman"/>
          <w:lang w:eastAsia="uk-UA"/>
        </w:rPr>
        <w:t>:</w:t>
      </w:r>
    </w:p>
    <w:p w:rsidR="00E15954" w:rsidRPr="006247D3" w:rsidRDefault="00E15954" w:rsidP="006247D3">
      <w:pPr>
        <w:spacing w:after="0" w:line="240" w:lineRule="auto"/>
        <w:ind w:firstLine="567"/>
        <w:jc w:val="both"/>
        <w:textAlignment w:val="baseline"/>
        <w:rPr>
          <w:rFonts w:ascii="Trebuchet MS" w:eastAsia="Times New Roman" w:hAnsi="Trebuchet MS" w:cs="Times New Roman"/>
          <w:lang w:eastAsia="uk-UA"/>
        </w:rPr>
      </w:pPr>
    </w:p>
    <w:tbl>
      <w:tblPr>
        <w:tblStyle w:val="TableNormal"/>
        <w:tblW w:w="101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24"/>
        <w:gridCol w:w="1028"/>
        <w:gridCol w:w="1127"/>
        <w:gridCol w:w="1192"/>
        <w:gridCol w:w="860"/>
        <w:gridCol w:w="1341"/>
      </w:tblGrid>
      <w:tr w:rsidR="00AB2A6D" w:rsidRPr="00AB2A6D" w:rsidTr="006247D3">
        <w:trPr>
          <w:trHeight w:val="583"/>
        </w:trPr>
        <w:tc>
          <w:tcPr>
            <w:tcW w:w="1418" w:type="dxa"/>
            <w:vMerge w:val="restart"/>
          </w:tcPr>
          <w:p w:rsidR="006247D3" w:rsidRPr="006247D3" w:rsidRDefault="006247D3" w:rsidP="00AB2A6D">
            <w:pPr>
              <w:pStyle w:val="TableParagraph"/>
              <w:ind w:left="340" w:hanging="34"/>
              <w:jc w:val="both"/>
              <w:rPr>
                <w:rFonts w:ascii="Trebuchet MS" w:hAnsi="Trebuchet MS"/>
                <w:w w:val="95"/>
                <w:sz w:val="18"/>
                <w:szCs w:val="18"/>
                <w:lang w:val="ru-RU"/>
              </w:rPr>
            </w:pPr>
          </w:p>
          <w:p w:rsidR="006247D3" w:rsidRPr="006247D3" w:rsidRDefault="006247D3" w:rsidP="00AB2A6D">
            <w:pPr>
              <w:pStyle w:val="TableParagraph"/>
              <w:ind w:left="340" w:hanging="34"/>
              <w:jc w:val="both"/>
              <w:rPr>
                <w:rFonts w:ascii="Trebuchet MS" w:hAnsi="Trebuchet MS"/>
                <w:w w:val="95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340" w:hanging="34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w w:val="95"/>
                <w:sz w:val="18"/>
                <w:szCs w:val="18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w w:val="95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Порядку</w:t>
            </w:r>
            <w:proofErr w:type="spellEnd"/>
          </w:p>
        </w:tc>
        <w:tc>
          <w:tcPr>
            <w:tcW w:w="4252" w:type="dxa"/>
            <w:gridSpan w:val="2"/>
            <w:vMerge w:val="restart"/>
          </w:tcPr>
          <w:p w:rsidR="006247D3" w:rsidRDefault="006247D3" w:rsidP="00AB2A6D">
            <w:pPr>
              <w:pStyle w:val="TableParagraph"/>
              <w:ind w:left="846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6247D3" w:rsidRDefault="006247D3" w:rsidP="00AB2A6D">
            <w:pPr>
              <w:pStyle w:val="TableParagraph"/>
              <w:ind w:left="846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6247D3" w:rsidRDefault="006247D3" w:rsidP="00AB2A6D">
            <w:pPr>
              <w:pStyle w:val="TableParagraph"/>
              <w:ind w:left="846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846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Гарантований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стандарт</w:t>
            </w:r>
            <w:proofErr w:type="spellEnd"/>
          </w:p>
        </w:tc>
        <w:tc>
          <w:tcPr>
            <w:tcW w:w="3179" w:type="dxa"/>
            <w:gridSpan w:val="3"/>
          </w:tcPr>
          <w:p w:rsidR="00CC56D7" w:rsidRPr="006247D3" w:rsidRDefault="00CC56D7" w:rsidP="00AB2A6D">
            <w:pPr>
              <w:pStyle w:val="TableParagraph"/>
              <w:ind w:left="1326" w:right="49" w:hanging="1251"/>
              <w:jc w:val="both"/>
              <w:rPr>
                <w:rFonts w:ascii="Trebuchet MS" w:hAnsi="Trebuchet MS"/>
                <w:sz w:val="18"/>
                <w:szCs w:val="18"/>
                <w:lang w:val="uk-UA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 xml:space="preserve">Розмір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компенсації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споживачам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,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грн</w:t>
            </w:r>
            <w:proofErr w:type="spellEnd"/>
            <w:r w:rsidR="006247D3">
              <w:rPr>
                <w:rFonts w:ascii="Trebuchet MS" w:hAnsi="Trebuchet MS"/>
                <w:sz w:val="18"/>
                <w:szCs w:val="18"/>
                <w:lang w:val="uk-UA"/>
              </w:rPr>
              <w:t>.</w:t>
            </w:r>
          </w:p>
        </w:tc>
        <w:tc>
          <w:tcPr>
            <w:tcW w:w="1341" w:type="dxa"/>
            <w:vMerge w:val="restart"/>
          </w:tcPr>
          <w:p w:rsidR="006247D3" w:rsidRDefault="006247D3" w:rsidP="00AB2A6D">
            <w:pPr>
              <w:pStyle w:val="TableParagraph"/>
              <w:ind w:left="293" w:hanging="267"/>
              <w:jc w:val="both"/>
              <w:rPr>
                <w:rFonts w:ascii="Trebuchet MS" w:hAnsi="Trebuchet MS"/>
                <w:w w:val="95"/>
                <w:sz w:val="18"/>
                <w:szCs w:val="18"/>
              </w:rPr>
            </w:pPr>
          </w:p>
          <w:p w:rsidR="006247D3" w:rsidRDefault="006247D3" w:rsidP="00AB2A6D">
            <w:pPr>
              <w:pStyle w:val="TableParagraph"/>
              <w:ind w:left="293" w:hanging="267"/>
              <w:jc w:val="both"/>
              <w:rPr>
                <w:rFonts w:ascii="Trebuchet MS" w:hAnsi="Trebuchet MS"/>
                <w:w w:val="95"/>
                <w:sz w:val="18"/>
                <w:szCs w:val="18"/>
              </w:rPr>
            </w:pPr>
          </w:p>
          <w:p w:rsidR="006247D3" w:rsidRDefault="006247D3" w:rsidP="006247D3">
            <w:pPr>
              <w:pStyle w:val="TableParagraph"/>
              <w:ind w:left="293" w:hanging="267"/>
              <w:jc w:val="center"/>
              <w:rPr>
                <w:rFonts w:ascii="Trebuchet MS" w:hAnsi="Trebuchet MS"/>
                <w:w w:val="95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w w:val="95"/>
                <w:sz w:val="18"/>
                <w:szCs w:val="18"/>
              </w:rPr>
              <w:t>Періодичність</w:t>
            </w:r>
            <w:proofErr w:type="spellEnd"/>
          </w:p>
          <w:p w:rsidR="00CC56D7" w:rsidRPr="00AB2A6D" w:rsidRDefault="00CC56D7" w:rsidP="006247D3">
            <w:pPr>
              <w:pStyle w:val="TableParagraph"/>
              <w:ind w:left="293" w:hanging="267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надання</w:t>
            </w:r>
          </w:p>
        </w:tc>
      </w:tr>
      <w:tr w:rsidR="00AB2A6D" w:rsidRPr="00AB2A6D" w:rsidTr="006247D3">
        <w:trPr>
          <w:trHeight w:val="257"/>
        </w:trPr>
        <w:tc>
          <w:tcPr>
            <w:tcW w:w="1418" w:type="dxa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</w:tcPr>
          <w:p w:rsidR="00CC56D7" w:rsidRPr="00AB2A6D" w:rsidRDefault="00AB2A6D" w:rsidP="006247D3">
            <w:pPr>
              <w:pStyle w:val="TableParagraph"/>
              <w:jc w:val="center"/>
              <w:rPr>
                <w:rFonts w:ascii="Trebuchet MS" w:hAnsi="Trebuchet MS"/>
                <w:sz w:val="18"/>
                <w:szCs w:val="18"/>
                <w:lang w:val="uk-UA"/>
              </w:rPr>
            </w:pPr>
            <w:r>
              <w:rPr>
                <w:rFonts w:ascii="Trebuchet MS" w:hAnsi="Trebuchet MS"/>
                <w:sz w:val="18"/>
                <w:szCs w:val="18"/>
                <w:lang w:val="uk-UA"/>
              </w:rPr>
              <w:t>побутовим</w:t>
            </w:r>
          </w:p>
        </w:tc>
        <w:tc>
          <w:tcPr>
            <w:tcW w:w="2052" w:type="dxa"/>
            <w:gridSpan w:val="2"/>
          </w:tcPr>
          <w:p w:rsidR="00CC56D7" w:rsidRPr="00AB2A6D" w:rsidRDefault="00CC56D7" w:rsidP="00AB2A6D">
            <w:pPr>
              <w:pStyle w:val="TableParagraph"/>
              <w:ind w:left="49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непобутовим</w:t>
            </w:r>
            <w:proofErr w:type="spellEnd"/>
          </w:p>
        </w:tc>
        <w:tc>
          <w:tcPr>
            <w:tcW w:w="1341" w:type="dxa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B2A6D" w:rsidRPr="00AB2A6D" w:rsidTr="006247D3">
        <w:trPr>
          <w:trHeight w:val="513"/>
        </w:trPr>
        <w:tc>
          <w:tcPr>
            <w:tcW w:w="1418" w:type="dxa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92" w:type="dxa"/>
          </w:tcPr>
          <w:p w:rsidR="00CC56D7" w:rsidRPr="00AB2A6D" w:rsidRDefault="00CC56D7" w:rsidP="00AB2A6D">
            <w:pPr>
              <w:pStyle w:val="TableParagraph"/>
              <w:ind w:left="78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малим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w w:val="95"/>
                <w:sz w:val="18"/>
                <w:szCs w:val="18"/>
              </w:rPr>
              <w:t>непобутовим</w:t>
            </w:r>
            <w:proofErr w:type="spellEnd"/>
          </w:p>
        </w:tc>
        <w:tc>
          <w:tcPr>
            <w:tcW w:w="860" w:type="dxa"/>
          </w:tcPr>
          <w:p w:rsidR="00CC56D7" w:rsidRPr="00AB2A6D" w:rsidRDefault="00CC56D7" w:rsidP="00AB2A6D">
            <w:pPr>
              <w:pStyle w:val="TableParagraph"/>
              <w:ind w:left="111" w:right="106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іншим</w:t>
            </w:r>
            <w:proofErr w:type="spellEnd"/>
          </w:p>
        </w:tc>
        <w:tc>
          <w:tcPr>
            <w:tcW w:w="1341" w:type="dxa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B2A6D" w:rsidRPr="00AB2A6D" w:rsidTr="006247D3">
        <w:trPr>
          <w:trHeight w:val="1015"/>
        </w:trPr>
        <w:tc>
          <w:tcPr>
            <w:tcW w:w="1418" w:type="dxa"/>
          </w:tcPr>
          <w:p w:rsidR="00CC56D7" w:rsidRPr="00AB2A6D" w:rsidRDefault="00CC56D7" w:rsidP="00AB2A6D">
            <w:pPr>
              <w:pStyle w:val="TableParagraph"/>
              <w:ind w:left="215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Pr="00AB2A6D">
              <w:rPr>
                <w:rFonts w:ascii="Trebuchet MS" w:hAnsi="Trebuchet MS"/>
                <w:sz w:val="18"/>
                <w:szCs w:val="18"/>
              </w:rPr>
              <w:t>1</w:t>
            </w:r>
          </w:p>
          <w:p w:rsidR="00CC56D7" w:rsidRPr="00AB2A6D" w:rsidRDefault="00CC56D7" w:rsidP="00AB2A6D">
            <w:pPr>
              <w:pStyle w:val="TableParagraph"/>
              <w:ind w:left="214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пункту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  <w:r w:rsidRPr="00AB2A6D">
              <w:rPr>
                <w:rFonts w:ascii="Trebuchet MS" w:hAnsi="Trebuchet MS"/>
                <w:sz w:val="18"/>
                <w:szCs w:val="18"/>
              </w:rPr>
              <w:t>.3</w:t>
            </w:r>
          </w:p>
          <w:p w:rsidR="00CC56D7" w:rsidRPr="00AB2A6D" w:rsidRDefault="00AB2A6D" w:rsidP="00AB2A6D">
            <w:pPr>
              <w:pStyle w:val="TableParagraph"/>
              <w:ind w:left="213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глави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4</w:t>
            </w:r>
          </w:p>
        </w:tc>
        <w:tc>
          <w:tcPr>
            <w:tcW w:w="3224" w:type="dxa"/>
          </w:tcPr>
          <w:p w:rsidR="00CC56D7" w:rsidRPr="00AB2A6D" w:rsidRDefault="00CC56D7" w:rsidP="00AB2A6D">
            <w:pPr>
              <w:pStyle w:val="TableParagraph"/>
              <w:ind w:left="13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Надання даних про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споживання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електричної енергії</w:t>
            </w:r>
          </w:p>
        </w:tc>
        <w:tc>
          <w:tcPr>
            <w:tcW w:w="1028" w:type="dxa"/>
          </w:tcPr>
          <w:p w:rsidR="00AB2A6D" w:rsidRPr="00E15954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 xml:space="preserve">5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роб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.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1127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266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192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488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400</w:t>
            </w:r>
          </w:p>
        </w:tc>
        <w:tc>
          <w:tcPr>
            <w:tcW w:w="860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600</w:t>
            </w:r>
          </w:p>
        </w:tc>
        <w:tc>
          <w:tcPr>
            <w:tcW w:w="1341" w:type="dxa"/>
          </w:tcPr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одноразово</w:t>
            </w:r>
            <w:proofErr w:type="spellEnd"/>
          </w:p>
        </w:tc>
      </w:tr>
      <w:tr w:rsidR="00AB2A6D" w:rsidRPr="00AB2A6D" w:rsidTr="006247D3">
        <w:trPr>
          <w:trHeight w:val="559"/>
        </w:trPr>
        <w:tc>
          <w:tcPr>
            <w:tcW w:w="1418" w:type="dxa"/>
            <w:vMerge w:val="restart"/>
          </w:tcPr>
          <w:p w:rsidR="00CC56D7" w:rsidRPr="00AB2A6D" w:rsidRDefault="00CC56D7" w:rsidP="00AB2A6D">
            <w:pPr>
              <w:pStyle w:val="TableParagraph"/>
              <w:ind w:left="215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Pr="00AB2A6D">
              <w:rPr>
                <w:rFonts w:ascii="Trebuchet MS" w:hAnsi="Trebuchet MS"/>
                <w:sz w:val="18"/>
                <w:szCs w:val="18"/>
              </w:rPr>
              <w:t>2</w:t>
            </w:r>
          </w:p>
          <w:p w:rsidR="00CC56D7" w:rsidRPr="00AB2A6D" w:rsidRDefault="00CC56D7" w:rsidP="00AB2A6D">
            <w:pPr>
              <w:pStyle w:val="TableParagraph"/>
              <w:ind w:left="214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пункту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</w:rPr>
              <w:t>4</w:t>
            </w:r>
            <w:r w:rsidRPr="00AB2A6D">
              <w:rPr>
                <w:rFonts w:ascii="Trebuchet MS" w:hAnsi="Trebuchet MS"/>
                <w:sz w:val="18"/>
                <w:szCs w:val="18"/>
              </w:rPr>
              <w:t>.3</w:t>
            </w:r>
          </w:p>
          <w:p w:rsidR="00CC56D7" w:rsidRPr="00AB2A6D" w:rsidRDefault="00AB2A6D" w:rsidP="00AB2A6D">
            <w:pPr>
              <w:pStyle w:val="TableParagraph"/>
              <w:ind w:left="213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глави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4</w:t>
            </w:r>
          </w:p>
        </w:tc>
        <w:tc>
          <w:tcPr>
            <w:tcW w:w="3224" w:type="dxa"/>
          </w:tcPr>
          <w:p w:rsidR="00CC56D7" w:rsidRPr="00AB2A6D" w:rsidRDefault="00AB2A6D" w:rsidP="00AB2A6D">
            <w:pPr>
              <w:pStyle w:val="TableParagraph"/>
              <w:tabs>
                <w:tab w:val="left" w:pos="1258"/>
              </w:tabs>
              <w:ind w:left="13" w:right="1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Розгляд</w:t>
            </w:r>
            <w:proofErr w:type="spellEnd"/>
            <w:r w:rsidR="006247D3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r w:rsidR="00CC56D7" w:rsidRPr="00AB2A6D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>звернень/</w:t>
            </w:r>
            <w:proofErr w:type="spellStart"/>
            <w:r w:rsidR="00CC56D7" w:rsidRPr="00AB2A6D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>скарг</w:t>
            </w:r>
            <w:proofErr w:type="spellEnd"/>
            <w:r w:rsidR="00CC56D7" w:rsidRPr="00AB2A6D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 xml:space="preserve">/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претензій</w:t>
            </w:r>
            <w:proofErr w:type="spellEnd"/>
            <w:r w:rsidR="00CC56D7" w:rsidRPr="00AB2A6D">
              <w:rPr>
                <w:rFonts w:ascii="Trebuchet MS" w:hAnsi="Trebuchet MS"/>
                <w:spacing w:val="-2"/>
                <w:sz w:val="18"/>
                <w:szCs w:val="18"/>
                <w:lang w:val="ru-RU"/>
              </w:rPr>
              <w:t xml:space="preserve"> </w:t>
            </w:r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споживачів</w:t>
            </w:r>
          </w:p>
        </w:tc>
        <w:tc>
          <w:tcPr>
            <w:tcW w:w="1028" w:type="dxa"/>
          </w:tcPr>
          <w:p w:rsidR="00CC56D7" w:rsidRPr="00AB2A6D" w:rsidRDefault="00CC56D7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 xml:space="preserve">30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1127" w:type="dxa"/>
          </w:tcPr>
          <w:p w:rsidR="00CC56D7" w:rsidRPr="00AB2A6D" w:rsidRDefault="00CC56D7" w:rsidP="00AB2A6D">
            <w:pPr>
              <w:pStyle w:val="TableParagraph"/>
              <w:ind w:left="266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192" w:type="dxa"/>
          </w:tcPr>
          <w:p w:rsidR="00CC56D7" w:rsidRPr="00AB2A6D" w:rsidRDefault="00CC56D7" w:rsidP="00AB2A6D">
            <w:pPr>
              <w:pStyle w:val="TableParagraph"/>
              <w:ind w:left="488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400</w:t>
            </w:r>
          </w:p>
        </w:tc>
        <w:tc>
          <w:tcPr>
            <w:tcW w:w="860" w:type="dxa"/>
          </w:tcPr>
          <w:p w:rsidR="00CC56D7" w:rsidRPr="00AB2A6D" w:rsidRDefault="00CC56D7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600</w:t>
            </w:r>
          </w:p>
        </w:tc>
        <w:tc>
          <w:tcPr>
            <w:tcW w:w="1341" w:type="dxa"/>
          </w:tcPr>
          <w:p w:rsidR="00CC56D7" w:rsidRPr="00AB2A6D" w:rsidRDefault="00CC56D7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одноразово</w:t>
            </w:r>
            <w:proofErr w:type="spellEnd"/>
          </w:p>
        </w:tc>
      </w:tr>
      <w:tr w:rsidR="00AB2A6D" w:rsidRPr="00AB2A6D" w:rsidTr="006247D3">
        <w:trPr>
          <w:trHeight w:val="1633"/>
        </w:trPr>
        <w:tc>
          <w:tcPr>
            <w:tcW w:w="1418" w:type="dxa"/>
            <w:vMerge/>
            <w:tcBorders>
              <w:top w:val="nil"/>
            </w:tcBorders>
          </w:tcPr>
          <w:p w:rsidR="00CC56D7" w:rsidRPr="00AB2A6D" w:rsidRDefault="00CC56D7" w:rsidP="00AB2A6D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224" w:type="dxa"/>
          </w:tcPr>
          <w:p w:rsidR="00CC56D7" w:rsidRPr="00AB2A6D" w:rsidRDefault="00AB2A6D" w:rsidP="006247D3">
            <w:pPr>
              <w:pStyle w:val="TableParagraph"/>
              <w:tabs>
                <w:tab w:val="left" w:pos="1258"/>
              </w:tabs>
              <w:ind w:left="13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Розгляд</w:t>
            </w:r>
            <w:proofErr w:type="spellEnd"/>
            <w:r w:rsidR="006247D3">
              <w:rPr>
                <w:rFonts w:ascii="Trebuchet MS" w:hAnsi="Trebuchet MS"/>
                <w:sz w:val="18"/>
                <w:szCs w:val="18"/>
                <w:lang w:val="ru-RU"/>
              </w:rPr>
              <w:t> </w:t>
            </w:r>
            <w:r w:rsidR="006247D3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>звернень/</w:t>
            </w:r>
            <w:proofErr w:type="spellStart"/>
            <w:r w:rsidR="006247D3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>скарг</w:t>
            </w:r>
            <w:proofErr w:type="spellEnd"/>
            <w:r w:rsidR="006247D3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>/ 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претензій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споживачів, якщо під час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розгляду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звернення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необхідно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здійснити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технічну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перевірку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або</w:t>
            </w:r>
            <w:r w:rsidR="00CC56D7" w:rsidRPr="00AB2A6D">
              <w:rPr>
                <w:rFonts w:ascii="Trebuchet MS" w:hAnsi="Trebuchet MS"/>
                <w:spacing w:val="11"/>
                <w:sz w:val="18"/>
                <w:szCs w:val="18"/>
                <w:lang w:val="ru-RU"/>
              </w:rPr>
              <w:t xml:space="preserve"> </w:t>
            </w:r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провести</w:t>
            </w:r>
          </w:p>
          <w:p w:rsidR="00CC56D7" w:rsidRPr="00AB2A6D" w:rsidRDefault="00AB2A6D" w:rsidP="00AB2A6D">
            <w:pPr>
              <w:pStyle w:val="TableParagraph"/>
              <w:tabs>
                <w:tab w:val="right" w:pos="3149"/>
              </w:tabs>
              <w:ind w:left="13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експертизу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ab/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pacing w:val="-3"/>
                <w:sz w:val="18"/>
                <w:szCs w:val="18"/>
                <w:lang w:val="ru-RU"/>
              </w:rPr>
              <w:t>засобу</w:t>
            </w:r>
            <w:proofErr w:type="spellEnd"/>
            <w:r w:rsidR="00CC56D7" w:rsidRPr="00AB2A6D">
              <w:rPr>
                <w:rFonts w:ascii="Trebuchet MS" w:hAnsi="Trebuchet MS"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комерційного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обліку</w:t>
            </w:r>
          </w:p>
        </w:tc>
        <w:tc>
          <w:tcPr>
            <w:tcW w:w="1028" w:type="dxa"/>
          </w:tcPr>
          <w:p w:rsidR="00AB2A6D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45 днів</w:t>
            </w:r>
          </w:p>
        </w:tc>
        <w:tc>
          <w:tcPr>
            <w:tcW w:w="1127" w:type="dxa"/>
          </w:tcPr>
          <w:p w:rsidR="00AB2A6D" w:rsidRDefault="00AB2A6D" w:rsidP="00AB2A6D">
            <w:pPr>
              <w:pStyle w:val="TableParagraph"/>
              <w:ind w:left="266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266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266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266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200</w:t>
            </w:r>
          </w:p>
        </w:tc>
        <w:tc>
          <w:tcPr>
            <w:tcW w:w="1192" w:type="dxa"/>
          </w:tcPr>
          <w:p w:rsidR="00AB2A6D" w:rsidRDefault="00AB2A6D" w:rsidP="00AB2A6D">
            <w:pPr>
              <w:pStyle w:val="TableParagraph"/>
              <w:ind w:left="488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488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488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488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400</w:t>
            </w:r>
          </w:p>
        </w:tc>
        <w:tc>
          <w:tcPr>
            <w:tcW w:w="860" w:type="dxa"/>
          </w:tcPr>
          <w:p w:rsidR="00AB2A6D" w:rsidRDefault="00AB2A6D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600</w:t>
            </w:r>
          </w:p>
        </w:tc>
        <w:tc>
          <w:tcPr>
            <w:tcW w:w="1341" w:type="dxa"/>
          </w:tcPr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одноразово</w:t>
            </w:r>
          </w:p>
        </w:tc>
      </w:tr>
      <w:tr w:rsidR="00AB2A6D" w:rsidRPr="00AB2A6D" w:rsidTr="006247D3">
        <w:trPr>
          <w:trHeight w:val="1017"/>
        </w:trPr>
        <w:tc>
          <w:tcPr>
            <w:tcW w:w="1418" w:type="dxa"/>
          </w:tcPr>
          <w:p w:rsidR="00CC56D7" w:rsidRPr="00AB2A6D" w:rsidRDefault="00CC56D7" w:rsidP="00AB2A6D">
            <w:pPr>
              <w:pStyle w:val="TableParagraph"/>
              <w:ind w:left="215" w:right="205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  <w:lang w:val="ru-RU"/>
              </w:rPr>
              <w:t xml:space="preserve"> </w:t>
            </w: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3</w:t>
            </w:r>
          </w:p>
          <w:p w:rsidR="00CC56D7" w:rsidRPr="00AB2A6D" w:rsidRDefault="00CC56D7" w:rsidP="00AB2A6D">
            <w:pPr>
              <w:pStyle w:val="TableParagraph"/>
              <w:ind w:left="214" w:right="205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пункту</w:t>
            </w:r>
            <w:r w:rsidRPr="00AB2A6D">
              <w:rPr>
                <w:rFonts w:ascii="Trebuchet MS" w:hAnsi="Trebuchet MS"/>
                <w:spacing w:val="-8"/>
                <w:sz w:val="18"/>
                <w:szCs w:val="18"/>
                <w:lang w:val="ru-RU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.3</w:t>
            </w:r>
          </w:p>
          <w:p w:rsidR="00CC56D7" w:rsidRPr="00AB2A6D" w:rsidRDefault="00CC56D7" w:rsidP="00AB2A6D">
            <w:pPr>
              <w:pStyle w:val="TableParagraph"/>
              <w:ind w:left="213" w:right="205"/>
              <w:jc w:val="both"/>
              <w:rPr>
                <w:rFonts w:ascii="Trebuchet MS" w:hAnsi="Trebuchet MS"/>
                <w:sz w:val="18"/>
                <w:szCs w:val="18"/>
                <w:lang w:val="uk-UA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глави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</w:p>
        </w:tc>
        <w:tc>
          <w:tcPr>
            <w:tcW w:w="3224" w:type="dxa"/>
          </w:tcPr>
          <w:p w:rsidR="00CC56D7" w:rsidRPr="00AB2A6D" w:rsidRDefault="00CC56D7" w:rsidP="00AB2A6D">
            <w:pPr>
              <w:pStyle w:val="TableParagraph"/>
              <w:ind w:left="13" w:right="1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Розгляд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звернення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споживача щодо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перевірки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правильності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рахунка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за електричну енергію</w:t>
            </w:r>
          </w:p>
        </w:tc>
        <w:tc>
          <w:tcPr>
            <w:tcW w:w="1028" w:type="dxa"/>
          </w:tcPr>
          <w:p w:rsidR="00AB2A6D" w:rsidRPr="00E15954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Pr="00E15954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 xml:space="preserve">5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роб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.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1127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266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192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488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488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400</w:t>
            </w:r>
          </w:p>
        </w:tc>
        <w:tc>
          <w:tcPr>
            <w:tcW w:w="860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111" w:right="102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111" w:right="102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600</w:t>
            </w:r>
          </w:p>
        </w:tc>
        <w:tc>
          <w:tcPr>
            <w:tcW w:w="1341" w:type="dxa"/>
          </w:tcPr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одноразово</w:t>
            </w:r>
            <w:proofErr w:type="spellEnd"/>
          </w:p>
        </w:tc>
      </w:tr>
      <w:tr w:rsidR="00AB2A6D" w:rsidRPr="00AB2A6D" w:rsidTr="006247D3">
        <w:trPr>
          <w:trHeight w:val="1634"/>
        </w:trPr>
        <w:tc>
          <w:tcPr>
            <w:tcW w:w="1418" w:type="dxa"/>
          </w:tcPr>
          <w:p w:rsidR="00CC56D7" w:rsidRPr="00AB2A6D" w:rsidRDefault="00CC56D7" w:rsidP="00AB2A6D">
            <w:pPr>
              <w:pStyle w:val="TableParagraph"/>
              <w:ind w:left="215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Pr="00AB2A6D">
              <w:rPr>
                <w:rFonts w:ascii="Trebuchet MS" w:hAnsi="Trebuchet MS"/>
                <w:sz w:val="18"/>
                <w:szCs w:val="18"/>
              </w:rPr>
              <w:t>4</w:t>
            </w:r>
          </w:p>
          <w:p w:rsidR="00CC56D7" w:rsidRPr="00AB2A6D" w:rsidRDefault="00CC56D7" w:rsidP="00AB2A6D">
            <w:pPr>
              <w:pStyle w:val="TableParagraph"/>
              <w:ind w:left="214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пункту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  <w:r w:rsidRPr="00AB2A6D">
              <w:rPr>
                <w:rFonts w:ascii="Trebuchet MS" w:hAnsi="Trebuchet MS"/>
                <w:sz w:val="18"/>
                <w:szCs w:val="18"/>
              </w:rPr>
              <w:t>.3</w:t>
            </w:r>
          </w:p>
          <w:p w:rsidR="00CC56D7" w:rsidRPr="00AB2A6D" w:rsidRDefault="00CC56D7" w:rsidP="00AB2A6D">
            <w:pPr>
              <w:pStyle w:val="TableParagraph"/>
              <w:ind w:left="213" w:right="205"/>
              <w:jc w:val="both"/>
              <w:rPr>
                <w:rFonts w:ascii="Trebuchet MS" w:hAnsi="Trebuchet MS"/>
                <w:sz w:val="18"/>
                <w:szCs w:val="18"/>
                <w:lang w:val="uk-UA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глави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</w:p>
        </w:tc>
        <w:tc>
          <w:tcPr>
            <w:tcW w:w="3224" w:type="dxa"/>
          </w:tcPr>
          <w:p w:rsidR="00CC56D7" w:rsidRPr="00AB2A6D" w:rsidRDefault="00CC56D7" w:rsidP="00AB2A6D">
            <w:pPr>
              <w:pStyle w:val="TableParagraph"/>
              <w:ind w:left="13" w:right="-15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Урахування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суми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відповідної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компенсації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за недотримання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гарантованих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стандартів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якості надання послуг оператора системи у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кінцевому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рахунку споживача</w:t>
            </w:r>
          </w:p>
          <w:p w:rsidR="00CC56D7" w:rsidRPr="00AB2A6D" w:rsidRDefault="00CC56D7" w:rsidP="00AB2A6D">
            <w:pPr>
              <w:pStyle w:val="TableParagraph"/>
              <w:ind w:left="13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за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електричну енергію</w:t>
            </w:r>
          </w:p>
        </w:tc>
        <w:tc>
          <w:tcPr>
            <w:tcW w:w="1028" w:type="dxa"/>
          </w:tcPr>
          <w:p w:rsidR="00AB2A6D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67" w:right="59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 xml:space="preserve">30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днів</w:t>
            </w:r>
            <w:proofErr w:type="spellEnd"/>
          </w:p>
        </w:tc>
        <w:tc>
          <w:tcPr>
            <w:tcW w:w="1127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266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1192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488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400</w:t>
            </w:r>
          </w:p>
        </w:tc>
        <w:tc>
          <w:tcPr>
            <w:tcW w:w="860" w:type="dxa"/>
          </w:tcPr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right="102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600</w:t>
            </w:r>
          </w:p>
        </w:tc>
        <w:tc>
          <w:tcPr>
            <w:tcW w:w="1341" w:type="dxa"/>
          </w:tcPr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37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одноразово</w:t>
            </w:r>
            <w:proofErr w:type="spellEnd"/>
          </w:p>
        </w:tc>
      </w:tr>
      <w:tr w:rsidR="00AB2A6D" w:rsidRPr="00AB2A6D" w:rsidTr="006247D3">
        <w:trPr>
          <w:trHeight w:val="1176"/>
        </w:trPr>
        <w:tc>
          <w:tcPr>
            <w:tcW w:w="1418" w:type="dxa"/>
          </w:tcPr>
          <w:p w:rsidR="00CC56D7" w:rsidRPr="00AB2A6D" w:rsidRDefault="00CC56D7" w:rsidP="00AB2A6D">
            <w:pPr>
              <w:pStyle w:val="TableParagraph"/>
              <w:ind w:left="215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Pr="00AB2A6D">
              <w:rPr>
                <w:rFonts w:ascii="Trebuchet MS" w:hAnsi="Trebuchet MS"/>
                <w:sz w:val="18"/>
                <w:szCs w:val="18"/>
              </w:rPr>
              <w:t>5</w:t>
            </w:r>
          </w:p>
          <w:p w:rsidR="00CC56D7" w:rsidRPr="00AB2A6D" w:rsidRDefault="00CC56D7" w:rsidP="00AB2A6D">
            <w:pPr>
              <w:pStyle w:val="TableParagraph"/>
              <w:ind w:left="214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пункту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  <w:r w:rsidRPr="00AB2A6D">
              <w:rPr>
                <w:rFonts w:ascii="Trebuchet MS" w:hAnsi="Trebuchet MS"/>
                <w:sz w:val="18"/>
                <w:szCs w:val="18"/>
              </w:rPr>
              <w:t>.3</w:t>
            </w:r>
          </w:p>
          <w:p w:rsidR="00CC56D7" w:rsidRPr="00AB2A6D" w:rsidRDefault="00CC56D7" w:rsidP="00AB2A6D">
            <w:pPr>
              <w:pStyle w:val="TableParagraph"/>
              <w:ind w:left="213" w:right="205"/>
              <w:jc w:val="both"/>
              <w:rPr>
                <w:rFonts w:ascii="Trebuchet MS" w:hAnsi="Trebuchet MS"/>
                <w:sz w:val="18"/>
                <w:szCs w:val="18"/>
                <w:lang w:val="uk-UA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глави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</w:p>
        </w:tc>
        <w:tc>
          <w:tcPr>
            <w:tcW w:w="3224" w:type="dxa"/>
          </w:tcPr>
          <w:p w:rsidR="00AB2A6D" w:rsidRPr="00AB2A6D" w:rsidRDefault="006247D3" w:rsidP="00AB2A6D">
            <w:pPr>
              <w:pStyle w:val="TableParagraph"/>
              <w:tabs>
                <w:tab w:val="left" w:pos="1899"/>
              </w:tabs>
              <w:ind w:left="13" w:right="1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ru-RU"/>
              </w:rPr>
              <w:t>Виставлення</w:t>
            </w:r>
            <w:proofErr w:type="spellEnd"/>
            <w:r>
              <w:rPr>
                <w:rFonts w:ascii="Trebuchet MS" w:hAnsi="Trebuchet MS"/>
                <w:sz w:val="18"/>
                <w:szCs w:val="18"/>
                <w:lang w:val="ru-RU"/>
              </w:rPr>
              <w:t> </w:t>
            </w:r>
            <w:proofErr w:type="spellStart"/>
            <w:r w:rsidR="00CC56D7" w:rsidRPr="00AB2A6D">
              <w:rPr>
                <w:rFonts w:ascii="Trebuchet MS" w:hAnsi="Trebuchet MS"/>
                <w:spacing w:val="-3"/>
                <w:sz w:val="18"/>
                <w:szCs w:val="18"/>
                <w:lang w:val="ru-RU"/>
              </w:rPr>
              <w:t>рахунка</w:t>
            </w:r>
            <w:proofErr w:type="spellEnd"/>
            <w:r w:rsidR="00CC56D7" w:rsidRPr="00AB2A6D">
              <w:rPr>
                <w:rFonts w:ascii="Trebuchet MS" w:hAnsi="Trebuchet MS"/>
                <w:spacing w:val="-3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електропостачальником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</w:p>
          <w:p w:rsidR="00CC56D7" w:rsidRPr="00AB2A6D" w:rsidRDefault="00CC56D7" w:rsidP="00AB2A6D">
            <w:pPr>
              <w:pStyle w:val="TableParagraph"/>
              <w:tabs>
                <w:tab w:val="left" w:pos="1899"/>
              </w:tabs>
              <w:ind w:left="13" w:right="1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pacing w:val="-6"/>
                <w:sz w:val="18"/>
                <w:szCs w:val="18"/>
                <w:lang w:val="ru-RU"/>
              </w:rPr>
              <w:t xml:space="preserve">(у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паперовій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або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електронній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формі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1028" w:type="dxa"/>
          </w:tcPr>
          <w:p w:rsidR="00CC56D7" w:rsidRPr="00AB2A6D" w:rsidRDefault="00AB2A6D" w:rsidP="00AB2A6D">
            <w:pPr>
              <w:pStyle w:val="TableParagraph"/>
              <w:ind w:left="52" w:right="38" w:hanging="2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Строк</w:t>
            </w:r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C56D7" w:rsidRPr="00AB2A6D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>визначений</w:t>
            </w:r>
            <w:proofErr w:type="spellEnd"/>
            <w:r w:rsidR="00CC56D7" w:rsidRPr="00AB2A6D">
              <w:rPr>
                <w:rFonts w:ascii="Trebuchet MS" w:hAnsi="Trebuchet MS"/>
                <w:w w:val="95"/>
                <w:sz w:val="18"/>
                <w:szCs w:val="18"/>
                <w:lang w:val="ru-RU"/>
              </w:rPr>
              <w:t xml:space="preserve"> </w:t>
            </w:r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договором та/або</w:t>
            </w:r>
          </w:p>
          <w:p w:rsidR="00CC56D7" w:rsidRPr="00AB2A6D" w:rsidRDefault="00CC56D7" w:rsidP="00AB2A6D">
            <w:pPr>
              <w:pStyle w:val="TableParagraph"/>
              <w:ind w:left="67" w:right="58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r w:rsidRPr="00AB2A6D">
              <w:rPr>
                <w:rFonts w:ascii="Trebuchet MS" w:hAnsi="Trebuchet MS"/>
                <w:sz w:val="18"/>
                <w:szCs w:val="18"/>
                <w:lang w:val="ru-RU"/>
              </w:rPr>
              <w:t>ПРРЕЕ</w:t>
            </w:r>
          </w:p>
        </w:tc>
        <w:tc>
          <w:tcPr>
            <w:tcW w:w="1127" w:type="dxa"/>
          </w:tcPr>
          <w:p w:rsidR="00AB2A6D" w:rsidRPr="00E15954" w:rsidRDefault="00AB2A6D" w:rsidP="00AB2A6D">
            <w:pPr>
              <w:pStyle w:val="TableParagraph"/>
              <w:ind w:left="27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Pr="00E15954" w:rsidRDefault="00AB2A6D" w:rsidP="00AB2A6D">
            <w:pPr>
              <w:pStyle w:val="TableParagraph"/>
              <w:ind w:left="27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27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1192" w:type="dxa"/>
          </w:tcPr>
          <w:p w:rsidR="00AB2A6D" w:rsidRDefault="00AB2A6D" w:rsidP="00AB2A6D">
            <w:pPr>
              <w:pStyle w:val="TableParagraph"/>
              <w:ind w:left="49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49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49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860" w:type="dxa"/>
          </w:tcPr>
          <w:p w:rsidR="00AB2A6D" w:rsidRDefault="00AB2A6D" w:rsidP="00AB2A6D">
            <w:pPr>
              <w:pStyle w:val="TableParagraph"/>
              <w:ind w:left="111" w:right="83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111" w:right="83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111" w:right="83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400</w:t>
            </w:r>
          </w:p>
        </w:tc>
        <w:tc>
          <w:tcPr>
            <w:tcW w:w="1341" w:type="dxa"/>
          </w:tcPr>
          <w:p w:rsidR="00AB2A6D" w:rsidRDefault="00AB2A6D" w:rsidP="00AB2A6D">
            <w:pPr>
              <w:pStyle w:val="TableParagraph"/>
              <w:ind w:left="51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CC56D7" w:rsidP="00AB2A6D">
            <w:pPr>
              <w:pStyle w:val="TableParagraph"/>
              <w:ind w:left="51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одноразово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CC56D7" w:rsidRPr="00AB2A6D" w:rsidRDefault="00CC56D7" w:rsidP="00AB2A6D">
            <w:pPr>
              <w:pStyle w:val="TableParagraph"/>
              <w:ind w:left="51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за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зверненням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споживача</w:t>
            </w:r>
            <w:proofErr w:type="spellEnd"/>
          </w:p>
        </w:tc>
      </w:tr>
      <w:tr w:rsidR="00AB2A6D" w:rsidRPr="00AB2A6D" w:rsidTr="006247D3">
        <w:trPr>
          <w:trHeight w:val="1077"/>
        </w:trPr>
        <w:tc>
          <w:tcPr>
            <w:tcW w:w="1418" w:type="dxa"/>
          </w:tcPr>
          <w:p w:rsidR="00CC56D7" w:rsidRPr="00AB2A6D" w:rsidRDefault="00CC56D7" w:rsidP="00AB2A6D">
            <w:pPr>
              <w:pStyle w:val="TableParagraph"/>
              <w:ind w:left="215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Підпункт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Pr="00AB2A6D">
              <w:rPr>
                <w:rFonts w:ascii="Trebuchet MS" w:hAnsi="Trebuchet MS"/>
                <w:sz w:val="18"/>
                <w:szCs w:val="18"/>
              </w:rPr>
              <w:t>6</w:t>
            </w:r>
          </w:p>
          <w:p w:rsidR="00CC56D7" w:rsidRPr="00AB2A6D" w:rsidRDefault="00CC56D7" w:rsidP="00AB2A6D">
            <w:pPr>
              <w:pStyle w:val="TableParagraph"/>
              <w:ind w:left="214" w:right="205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пункту</w:t>
            </w:r>
            <w:proofErr w:type="spellEnd"/>
            <w:r w:rsidRPr="00AB2A6D">
              <w:rPr>
                <w:rFonts w:ascii="Trebuchet MS" w:hAnsi="Trebuchet MS"/>
                <w:spacing w:val="-8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  <w:r w:rsidRPr="00AB2A6D">
              <w:rPr>
                <w:rFonts w:ascii="Trebuchet MS" w:hAnsi="Trebuchet MS"/>
                <w:sz w:val="18"/>
                <w:szCs w:val="18"/>
              </w:rPr>
              <w:t>.3</w:t>
            </w:r>
          </w:p>
          <w:p w:rsidR="00CC56D7" w:rsidRPr="00AB2A6D" w:rsidRDefault="00CC56D7" w:rsidP="00AB2A6D">
            <w:pPr>
              <w:pStyle w:val="TableParagraph"/>
              <w:ind w:left="213" w:right="205"/>
              <w:jc w:val="both"/>
              <w:rPr>
                <w:rFonts w:ascii="Trebuchet MS" w:hAnsi="Trebuchet MS"/>
                <w:sz w:val="18"/>
                <w:szCs w:val="18"/>
                <w:lang w:val="uk-UA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глави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AB2A6D" w:rsidRPr="00AB2A6D">
              <w:rPr>
                <w:rFonts w:ascii="Trebuchet MS" w:hAnsi="Trebuchet MS"/>
                <w:sz w:val="18"/>
                <w:szCs w:val="18"/>
                <w:lang w:val="uk-UA"/>
              </w:rPr>
              <w:t>4</w:t>
            </w:r>
          </w:p>
        </w:tc>
        <w:tc>
          <w:tcPr>
            <w:tcW w:w="4252" w:type="dxa"/>
            <w:gridSpan w:val="2"/>
          </w:tcPr>
          <w:p w:rsidR="00CC56D7" w:rsidRPr="00AB2A6D" w:rsidRDefault="00AB2A6D" w:rsidP="006247D3">
            <w:pPr>
              <w:pStyle w:val="TableParagraph"/>
              <w:tabs>
                <w:tab w:val="left" w:pos="1683"/>
                <w:tab w:val="left" w:pos="2945"/>
              </w:tabs>
              <w:ind w:left="13" w:right="1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  <w:lang w:val="ru-RU"/>
              </w:rPr>
              <w:t>Виставлення</w:t>
            </w:r>
            <w:proofErr w:type="spellEnd"/>
            <w:r w:rsidR="006247D3">
              <w:rPr>
                <w:rFonts w:ascii="Trebuchet MS" w:hAnsi="Trebuchet MS"/>
                <w:sz w:val="18"/>
                <w:szCs w:val="18"/>
                <w:lang w:val="ru-RU"/>
              </w:rPr>
              <w:t> </w:t>
            </w:r>
            <w:proofErr w:type="spellStart"/>
            <w:r w:rsidR="006247D3">
              <w:rPr>
                <w:rFonts w:ascii="Trebuchet MS" w:hAnsi="Trebuchet MS"/>
                <w:sz w:val="18"/>
                <w:szCs w:val="18"/>
                <w:lang w:val="ru-RU"/>
              </w:rPr>
              <w:t>рахунка</w:t>
            </w:r>
            <w:proofErr w:type="spellEnd"/>
            <w:r w:rsidR="006247D3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18"/>
                <w:szCs w:val="18"/>
                <w:lang w:val="ru-RU"/>
              </w:rPr>
              <w:t>електро</w:t>
            </w:r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постачальником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з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правильними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даними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ціну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, вартість та </w:t>
            </w:r>
            <w:proofErr w:type="spellStart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обсяг</w:t>
            </w:r>
            <w:proofErr w:type="spellEnd"/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 xml:space="preserve"> спожитої електричної</w:t>
            </w:r>
            <w:r w:rsidR="00CC56D7" w:rsidRPr="00AB2A6D">
              <w:rPr>
                <w:rFonts w:ascii="Trebuchet MS" w:hAnsi="Trebuchet MS"/>
                <w:spacing w:val="-2"/>
                <w:sz w:val="18"/>
                <w:szCs w:val="18"/>
                <w:lang w:val="ru-RU"/>
              </w:rPr>
              <w:t xml:space="preserve"> </w:t>
            </w:r>
            <w:r w:rsidR="00CC56D7" w:rsidRPr="00AB2A6D">
              <w:rPr>
                <w:rFonts w:ascii="Trebuchet MS" w:hAnsi="Trebuchet MS"/>
                <w:sz w:val="18"/>
                <w:szCs w:val="18"/>
                <w:lang w:val="ru-RU"/>
              </w:rPr>
              <w:t>енергії</w:t>
            </w:r>
          </w:p>
        </w:tc>
        <w:tc>
          <w:tcPr>
            <w:tcW w:w="1127" w:type="dxa"/>
          </w:tcPr>
          <w:p w:rsidR="00AB2A6D" w:rsidRPr="006247D3" w:rsidRDefault="00AB2A6D" w:rsidP="00AB2A6D">
            <w:pPr>
              <w:pStyle w:val="TableParagraph"/>
              <w:ind w:left="27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AB2A6D" w:rsidRPr="006247D3" w:rsidRDefault="00AB2A6D" w:rsidP="00AB2A6D">
            <w:pPr>
              <w:pStyle w:val="TableParagraph"/>
              <w:ind w:left="270"/>
              <w:jc w:val="both"/>
              <w:rPr>
                <w:rFonts w:ascii="Trebuchet MS" w:hAnsi="Trebuchet MS"/>
                <w:sz w:val="18"/>
                <w:szCs w:val="18"/>
                <w:lang w:val="ru-RU"/>
              </w:rPr>
            </w:pPr>
          </w:p>
          <w:p w:rsidR="00CC56D7" w:rsidRPr="00AB2A6D" w:rsidRDefault="00CC56D7" w:rsidP="00AB2A6D">
            <w:pPr>
              <w:pStyle w:val="TableParagraph"/>
              <w:ind w:left="27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100</w:t>
            </w:r>
          </w:p>
        </w:tc>
        <w:tc>
          <w:tcPr>
            <w:tcW w:w="1192" w:type="dxa"/>
          </w:tcPr>
          <w:p w:rsidR="00AB2A6D" w:rsidRDefault="00AB2A6D" w:rsidP="00AB2A6D">
            <w:pPr>
              <w:pStyle w:val="TableParagraph"/>
              <w:ind w:left="49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495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495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200</w:t>
            </w:r>
          </w:p>
        </w:tc>
        <w:tc>
          <w:tcPr>
            <w:tcW w:w="860" w:type="dxa"/>
          </w:tcPr>
          <w:p w:rsidR="00AB2A6D" w:rsidRDefault="00AB2A6D" w:rsidP="00AB2A6D">
            <w:pPr>
              <w:pStyle w:val="TableParagraph"/>
              <w:ind w:left="111" w:right="83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AB2A6D" w:rsidP="00AB2A6D">
            <w:pPr>
              <w:pStyle w:val="TableParagraph"/>
              <w:ind w:left="111" w:right="83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CC56D7" w:rsidRPr="00AB2A6D" w:rsidRDefault="00CC56D7" w:rsidP="00AB2A6D">
            <w:pPr>
              <w:pStyle w:val="TableParagraph"/>
              <w:ind w:left="111" w:right="83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B2A6D">
              <w:rPr>
                <w:rFonts w:ascii="Trebuchet MS" w:hAnsi="Trebuchet MS"/>
                <w:sz w:val="18"/>
                <w:szCs w:val="18"/>
              </w:rPr>
              <w:t>400</w:t>
            </w:r>
          </w:p>
        </w:tc>
        <w:tc>
          <w:tcPr>
            <w:tcW w:w="1341" w:type="dxa"/>
          </w:tcPr>
          <w:p w:rsidR="00AB2A6D" w:rsidRDefault="00AB2A6D" w:rsidP="00AB2A6D">
            <w:pPr>
              <w:pStyle w:val="TableParagraph"/>
              <w:ind w:left="51" w:right="30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AB2A6D" w:rsidRDefault="00CC56D7" w:rsidP="00AB2A6D">
            <w:pPr>
              <w:pStyle w:val="TableParagraph"/>
              <w:ind w:left="51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одноразово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CC56D7" w:rsidRPr="00AB2A6D" w:rsidRDefault="00CC56D7" w:rsidP="00AB2A6D">
            <w:pPr>
              <w:pStyle w:val="TableParagraph"/>
              <w:ind w:left="51" w:right="30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за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зверненням</w:t>
            </w:r>
            <w:proofErr w:type="spellEnd"/>
            <w:r w:rsidRPr="00AB2A6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AB2A6D">
              <w:rPr>
                <w:rFonts w:ascii="Trebuchet MS" w:hAnsi="Trebuchet MS"/>
                <w:sz w:val="18"/>
                <w:szCs w:val="18"/>
              </w:rPr>
              <w:t>споживача</w:t>
            </w:r>
            <w:proofErr w:type="spellEnd"/>
          </w:p>
        </w:tc>
      </w:tr>
    </w:tbl>
    <w:p w:rsidR="007E0B4D" w:rsidRPr="00CC56D7" w:rsidRDefault="007E0B4D">
      <w:pPr>
        <w:rPr>
          <w:rFonts w:ascii="Trebuchet MS" w:hAnsi="Trebuchet MS"/>
          <w:sz w:val="24"/>
          <w:szCs w:val="24"/>
        </w:rPr>
      </w:pPr>
    </w:p>
    <w:sectPr w:rsidR="007E0B4D" w:rsidRPr="00CC56D7" w:rsidSect="006247D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AA7"/>
    <w:multiLevelType w:val="multilevel"/>
    <w:tmpl w:val="23EA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950C6"/>
    <w:multiLevelType w:val="hybridMultilevel"/>
    <w:tmpl w:val="E34C845C"/>
    <w:lvl w:ilvl="0" w:tplc="37E4ABCC">
      <w:start w:val="1"/>
      <w:numFmt w:val="decimal"/>
      <w:lvlText w:val="%1)"/>
      <w:lvlJc w:val="left"/>
      <w:pPr>
        <w:ind w:left="860" w:hanging="50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458E602">
      <w:numFmt w:val="bullet"/>
      <w:lvlText w:val="•"/>
      <w:lvlJc w:val="left"/>
      <w:pPr>
        <w:ind w:left="1860" w:hanging="502"/>
      </w:pPr>
      <w:rPr>
        <w:rFonts w:hint="default"/>
        <w:lang w:val="uk-UA" w:eastAsia="en-US" w:bidi="ar-SA"/>
      </w:rPr>
    </w:lvl>
    <w:lvl w:ilvl="2" w:tplc="65C8328A">
      <w:numFmt w:val="bullet"/>
      <w:lvlText w:val="•"/>
      <w:lvlJc w:val="left"/>
      <w:pPr>
        <w:ind w:left="2861" w:hanging="502"/>
      </w:pPr>
      <w:rPr>
        <w:rFonts w:hint="default"/>
        <w:lang w:val="uk-UA" w:eastAsia="en-US" w:bidi="ar-SA"/>
      </w:rPr>
    </w:lvl>
    <w:lvl w:ilvl="3" w:tplc="49E8AF42">
      <w:numFmt w:val="bullet"/>
      <w:lvlText w:val="•"/>
      <w:lvlJc w:val="left"/>
      <w:pPr>
        <w:ind w:left="3861" w:hanging="502"/>
      </w:pPr>
      <w:rPr>
        <w:rFonts w:hint="default"/>
        <w:lang w:val="uk-UA" w:eastAsia="en-US" w:bidi="ar-SA"/>
      </w:rPr>
    </w:lvl>
    <w:lvl w:ilvl="4" w:tplc="FA72A1B2">
      <w:numFmt w:val="bullet"/>
      <w:lvlText w:val="•"/>
      <w:lvlJc w:val="left"/>
      <w:pPr>
        <w:ind w:left="4862" w:hanging="502"/>
      </w:pPr>
      <w:rPr>
        <w:rFonts w:hint="default"/>
        <w:lang w:val="uk-UA" w:eastAsia="en-US" w:bidi="ar-SA"/>
      </w:rPr>
    </w:lvl>
    <w:lvl w:ilvl="5" w:tplc="D1820CC6">
      <w:numFmt w:val="bullet"/>
      <w:lvlText w:val="•"/>
      <w:lvlJc w:val="left"/>
      <w:pPr>
        <w:ind w:left="5863" w:hanging="502"/>
      </w:pPr>
      <w:rPr>
        <w:rFonts w:hint="default"/>
        <w:lang w:val="uk-UA" w:eastAsia="en-US" w:bidi="ar-SA"/>
      </w:rPr>
    </w:lvl>
    <w:lvl w:ilvl="6" w:tplc="59D6FA2A">
      <w:numFmt w:val="bullet"/>
      <w:lvlText w:val="•"/>
      <w:lvlJc w:val="left"/>
      <w:pPr>
        <w:ind w:left="6863" w:hanging="502"/>
      </w:pPr>
      <w:rPr>
        <w:rFonts w:hint="default"/>
        <w:lang w:val="uk-UA" w:eastAsia="en-US" w:bidi="ar-SA"/>
      </w:rPr>
    </w:lvl>
    <w:lvl w:ilvl="7" w:tplc="C24C851A">
      <w:numFmt w:val="bullet"/>
      <w:lvlText w:val="•"/>
      <w:lvlJc w:val="left"/>
      <w:pPr>
        <w:ind w:left="7864" w:hanging="502"/>
      </w:pPr>
      <w:rPr>
        <w:rFonts w:hint="default"/>
        <w:lang w:val="uk-UA" w:eastAsia="en-US" w:bidi="ar-SA"/>
      </w:rPr>
    </w:lvl>
    <w:lvl w:ilvl="8" w:tplc="DA28B742">
      <w:numFmt w:val="bullet"/>
      <w:lvlText w:val="•"/>
      <w:lvlJc w:val="left"/>
      <w:pPr>
        <w:ind w:left="8865" w:hanging="502"/>
      </w:pPr>
      <w:rPr>
        <w:rFonts w:hint="default"/>
        <w:lang w:val="uk-UA" w:eastAsia="en-US" w:bidi="ar-SA"/>
      </w:rPr>
    </w:lvl>
  </w:abstractNum>
  <w:abstractNum w:abstractNumId="2" w15:restartNumberingAfterBreak="0">
    <w:nsid w:val="2E714F71"/>
    <w:multiLevelType w:val="hybridMultilevel"/>
    <w:tmpl w:val="675E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965F0"/>
    <w:multiLevelType w:val="multilevel"/>
    <w:tmpl w:val="91CCB4FC"/>
    <w:lvl w:ilvl="0">
      <w:start w:val="5"/>
      <w:numFmt w:val="decimal"/>
      <w:lvlText w:val="%1"/>
      <w:lvlJc w:val="left"/>
      <w:pPr>
        <w:ind w:left="860" w:hanging="7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6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61" w:hanging="7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61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2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3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3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4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65" w:hanging="71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46"/>
    <w:rsid w:val="00051E27"/>
    <w:rsid w:val="001B2046"/>
    <w:rsid w:val="0033776F"/>
    <w:rsid w:val="00506AE1"/>
    <w:rsid w:val="006247D3"/>
    <w:rsid w:val="007C24D3"/>
    <w:rsid w:val="007E0B4D"/>
    <w:rsid w:val="00894007"/>
    <w:rsid w:val="008C04B0"/>
    <w:rsid w:val="00AB2A6D"/>
    <w:rsid w:val="00CB495B"/>
    <w:rsid w:val="00CC56D7"/>
    <w:rsid w:val="00E15954"/>
    <w:rsid w:val="00F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DDF"/>
  <w15:docId w15:val="{5840927A-E7F8-488C-91C4-9CA717B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CB495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56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C5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C56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C5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CC56D7"/>
    <w:pPr>
      <w:widowControl w:val="0"/>
      <w:autoSpaceDE w:val="0"/>
      <w:autoSpaceDN w:val="0"/>
      <w:spacing w:after="0" w:line="240" w:lineRule="auto"/>
      <w:ind w:left="860" w:right="504" w:firstLine="707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7E0B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Катерина Олексіївна</dc:creator>
  <cp:keywords/>
  <dc:description/>
  <cp:lastModifiedBy>Наталія Гончарова</cp:lastModifiedBy>
  <cp:revision>4</cp:revision>
  <dcterms:created xsi:type="dcterms:W3CDTF">2025-03-21T09:42:00Z</dcterms:created>
  <dcterms:modified xsi:type="dcterms:W3CDTF">2025-03-21T12:16:00Z</dcterms:modified>
</cp:coreProperties>
</file>